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09FE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2" w:firstLineChars="200"/>
        <w:jc w:val="center"/>
        <w:textAlignment w:val="auto"/>
        <w:rPr>
          <w:rFonts w:hint="default" w:ascii="Times New Roman" w:hAnsi="Times New Roman" w:eastAsia="宋体" w:cs="Times New Roman"/>
          <w:b/>
          <w:bCs/>
          <w:kern w:val="0"/>
          <w:sz w:val="24"/>
          <w:szCs w:val="24"/>
        </w:rPr>
      </w:pPr>
      <w:bookmarkStart w:id="0" w:name="_Toc2255"/>
      <w:r>
        <w:rPr>
          <w:rFonts w:hint="default" w:ascii="Times New Roman" w:hAnsi="Times New Roman" w:eastAsia="宋体" w:cs="Times New Roman"/>
          <w:b/>
          <w:bCs/>
          <w:kern w:val="0"/>
          <w:sz w:val="24"/>
          <w:szCs w:val="24"/>
        </w:rPr>
        <w:t>Retrograde Venipuncture for Elderly Patients in Respiratory Medicine: A Quest for Better Access and Reflections</w:t>
      </w:r>
    </w:p>
    <w:bookmarkEnd w:id="0"/>
    <w:p w14:paraId="735ECC9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center"/>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Segoe UI" w:cs="Times New Roman"/>
          <w:b w:val="0"/>
          <w:bCs w:val="0"/>
          <w:i w:val="0"/>
          <w:iCs w:val="0"/>
          <w:caps w:val="0"/>
          <w:color w:val="0F1115"/>
          <w:spacing w:val="0"/>
          <w:sz w:val="24"/>
          <w:szCs w:val="16"/>
          <w:shd w:val="clear" w:fill="FFFFFF"/>
        </w:rPr>
        <w:t>Zhou Wen</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522"/>
      </w:tblGrid>
      <w:tr w14:paraId="0911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shd w:val="clear" w:color="auto" w:fill="auto"/>
            <w:vAlign w:val="top"/>
          </w:tcPr>
          <w:p w14:paraId="44D364D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right="0"/>
              <w:jc w:val="both"/>
              <w:textAlignment w:val="auto"/>
              <w:rPr>
                <w:rFonts w:hint="default" w:ascii="Times New Roman" w:hAnsi="Times New Roman" w:eastAsia="宋体" w:cs="Times New Roman"/>
                <w:b/>
                <w:bCs/>
                <w:kern w:val="2"/>
                <w:sz w:val="24"/>
                <w:szCs w:val="24"/>
                <w:lang w:val="en-US" w:eastAsia="zh-CN" w:bidi="ar"/>
              </w:rPr>
            </w:pPr>
            <w:r>
              <w:rPr>
                <w:rFonts w:hint="default" w:ascii="Times New Roman" w:hAnsi="Times New Roman" w:eastAsia="宋体" w:cs="Times New Roman"/>
                <w:b/>
                <w:bCs/>
                <w:kern w:val="2"/>
                <w:sz w:val="24"/>
                <w:szCs w:val="24"/>
                <w:lang w:val="en-US" w:eastAsia="zh-CN" w:bidi="ar"/>
              </w:rPr>
              <w:t>Background</w:t>
            </w:r>
          </w:p>
          <w:p w14:paraId="7BB43C7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The author is a master’s nursing student with clinical experience. During the internship in the respiratory medicine department, she faced many challenges, especially the difficult venous access in elderly patients. For instance, she failed when attempting an indwelling needle puncture for a 75-year-old COPD patient. This experience left her feeling very frustrated, but she was later able to put herself in the patient’s shoes and understand their reaction. This shows good professionalism and empathy. Her clinical instructor’s successful retrograde puncture sparked her curiosity and motivated her to actively explore the differences between antegrade and retrograde venipuncture. This desire to learn and explore professional skills is a key driver of continuous improvement for nursing staff. To understand retrograde intravenous infusion more deeply, the author reviewed a large amount of literature and studied the method, advantages, and precautions in detail, showing solid self-learning and information retrieval skills. On this basis, she carried out a clinical experiment. Through reasonable grouping, standardized procedures, and scientific evaluation, she compared the effects of retrograde and antegrade venipuncture in elderly patients and confirmed the advantages of the retrograde approach. The whole process reflects her strong research practice ability and rigorous scientific attitude. During the internship, the author not only improved her technical skills but also summarized lessons from practice, recognizing how retrograde intravenous infusion embodies the “patient-centered” nursing philosophy. She actively thought about how to further improve the puncture success rate and explored other related methods, demonstrating deep reflection on nursing work and a constant pursuit of excellence.</w:t>
            </w:r>
          </w:p>
        </w:tc>
      </w:tr>
    </w:tbl>
    <w:p w14:paraId="2953948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
        </w:rPr>
      </w:pPr>
      <w:bookmarkStart w:id="1" w:name="_Toc13849"/>
      <w:r>
        <w:rPr>
          <w:rFonts w:hint="default" w:ascii="Times New Roman" w:hAnsi="Times New Roman" w:eastAsia="宋体" w:cs="Times New Roman"/>
          <w:b w:val="0"/>
          <w:bCs w:val="0"/>
          <w:kern w:val="2"/>
          <w:sz w:val="24"/>
          <w:szCs w:val="24"/>
          <w:lang w:val="en-US" w:eastAsia="zh-CN" w:bidi="ar"/>
        </w:rPr>
        <w:t>During my internship in the respiratory medicine department, I felt stressed every time I followed my instructor to give patients intravenous infusions. Elderly patients have poor vascular elasticity, thin and tortuous veins, which makes venipuncture more difficult. One day, a 75-year-old COPD patient was admitted. She was an old case with poor vascular elasticity, small, superficial, and fragile veins. When I tried to insert an indwelling needle, I failed, as expected. The lady then said bluntly, “Let your teacher do it. Don’t try on me.” I felt so embarrassed and deeply hurt. Being spoken to like that in front of so many people made me lose face, and I wished I could just disappear. I also thought she was being a bit unreasonable. Later, I realized how painful a large indwelling needle must be, not to mention that she was frequently hospitalized and suffering. Her mood was poor. If it were me, I probably also would not want another needle stick. Thinking this way, I felt less upset. When the instructor came, I noticed she did not insert the needle along the vein in the usual direction. Instead, she inserted the needle tip against the direction of blood flow, hitting the vein instantly. It was fast and accurate, and the patient was very satisfied. This sparked my curiosity. After leaving the room, I asked the teacher: we usually puncture along the vein, is there any problem with puncturing against it? Are there any contraindications for retrograde puncture? Can it improve the success rate? The teacher only said briefly that there would be no problem. But I still had many questions, so I reviewed relevant literature. Through that, I learned about the differences between antegrade and retrograde puncture, the benefits of the retrograde approach, and related precautions.</w:t>
      </w:r>
    </w:p>
    <w:bookmarkEnd w:id="1"/>
    <w:p w14:paraId="65890C2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kern w:val="2"/>
          <w:sz w:val="24"/>
          <w:szCs w:val="24"/>
          <w:lang w:val="en-US" w:eastAsia="zh-CN" w:bidi="ar"/>
        </w:rPr>
      </w:pPr>
      <w:r>
        <w:rPr>
          <w:rFonts w:hint="default" w:ascii="Times New Roman" w:hAnsi="Times New Roman" w:eastAsia="宋体" w:cs="Times New Roman"/>
          <w:b/>
          <w:bCs/>
          <w:kern w:val="2"/>
          <w:sz w:val="24"/>
          <w:szCs w:val="24"/>
          <w:lang w:val="en-US" w:eastAsia="zh-CN" w:bidi="ar"/>
        </w:rPr>
        <w:t>1. Techniques of Retrograde Intravenous Infusion</w:t>
      </w:r>
    </w:p>
    <w:p w14:paraId="19E7267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Retrograde intravenous infusion means that the indwelling needle is inserted in the opposite direction compared to antegrade venipuncture; the needle tip enters the vessel against the direction of blood flow. During retrograde infusion, the fluid flows against the blood flow direction initially. Once the fluid enters the vessel, it can quickly reach the venous network from the local area and return via anastomotic branches, opening compensatory veins. This brings the infusion rate to a normal level and avoids problems like poor return flow or leakage. At the same time, because the patient’s hand is in a half-fist, the skin at the puncture site is relaxed, and the distal veins are well exposed. The insertion angle is easier to control. Puncturing in a centrifugal direction allows blood to rush into the needle faster and more easily, making it easier to observe blood return. This improves the success rate</w:t>
      </w:r>
      <w:r>
        <w:rPr>
          <w:rFonts w:hint="default" w:ascii="Times New Roman" w:hAnsi="Times New Roman" w:eastAsia="宋体" w:cs="Times New Roman"/>
          <w:b w:val="0"/>
          <w:bCs w:val="0"/>
          <w:kern w:val="2"/>
          <w:sz w:val="24"/>
          <w:szCs w:val="24"/>
          <w:vertAlign w:val="superscript"/>
          <w:lang w:val="en-US" w:eastAsia="zh-CN" w:bidi="ar"/>
        </w:rPr>
        <w:t>[1]</w:t>
      </w:r>
      <w:r>
        <w:rPr>
          <w:rFonts w:hint="default" w:ascii="Times New Roman" w:hAnsi="Times New Roman" w:eastAsia="宋体" w:cs="Times New Roman"/>
          <w:b w:val="0"/>
          <w:bCs w:val="0"/>
          <w:kern w:val="2"/>
          <w:sz w:val="24"/>
          <w:szCs w:val="24"/>
          <w:lang w:val="en-US" w:eastAsia="zh-CN" w:bidi="ar"/>
        </w:rPr>
        <w:t>。</w:t>
      </w:r>
    </w:p>
    <w:p w14:paraId="10D684F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kern w:val="2"/>
          <w:sz w:val="24"/>
          <w:szCs w:val="24"/>
          <w:lang w:val="en-US" w:eastAsia="zh-CN" w:bidi="ar"/>
        </w:rPr>
      </w:pPr>
      <w:r>
        <w:rPr>
          <w:rFonts w:hint="default" w:ascii="Times New Roman" w:hAnsi="Times New Roman" w:eastAsia="宋体" w:cs="Times New Roman"/>
          <w:b/>
          <w:bCs/>
          <w:kern w:val="2"/>
          <w:sz w:val="24"/>
          <w:szCs w:val="24"/>
          <w:lang w:val="en-US" w:eastAsia="zh-CN" w:bidi="ar"/>
        </w:rPr>
        <w:t>2. Techniques of Antegrade Intravenous Infusion</w:t>
      </w:r>
    </w:p>
    <w:p w14:paraId="75087E8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Antegrade venipuncture is the traditional method. The needle is inserted along the vein in the direction toward the heart, so the infusion flows in the same direction as the blood. When the patient makes a fist, the metacarpophalangeal joints protrude above the back of the hand, hindering the insertion angle for the distal dorsal veins. According to fluid mechanics, the needle direction is the same as the blood flow, so blood does not easily enter the needle. This makes it harder for the nurse to observe and judge</w:t>
      </w:r>
      <w:r>
        <w:rPr>
          <w:rFonts w:hint="default" w:ascii="Times New Roman" w:hAnsi="Times New Roman" w:eastAsia="宋体" w:cs="Times New Roman"/>
          <w:b w:val="0"/>
          <w:bCs w:val="0"/>
          <w:kern w:val="2"/>
          <w:sz w:val="24"/>
          <w:szCs w:val="24"/>
          <w:vertAlign w:val="superscript"/>
          <w:lang w:val="en-US" w:eastAsia="zh-CN" w:bidi="ar"/>
        </w:rPr>
        <w:t>[2]</w:t>
      </w:r>
      <w:r>
        <w:rPr>
          <w:rFonts w:hint="default" w:ascii="Times New Roman" w:hAnsi="Times New Roman" w:eastAsia="宋体" w:cs="Times New Roman"/>
          <w:b w:val="0"/>
          <w:bCs w:val="0"/>
          <w:kern w:val="2"/>
          <w:sz w:val="24"/>
          <w:szCs w:val="24"/>
          <w:lang w:val="en-US" w:eastAsia="zh-CN" w:bidi="ar"/>
        </w:rPr>
        <w:t>。</w:t>
      </w:r>
    </w:p>
    <w:p w14:paraId="70382AF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kern w:val="2"/>
          <w:sz w:val="24"/>
          <w:szCs w:val="24"/>
          <w:lang w:val="en-US" w:eastAsia="zh-CN" w:bidi="ar"/>
        </w:rPr>
      </w:pPr>
      <w:r>
        <w:rPr>
          <w:rFonts w:hint="default" w:ascii="Times New Roman" w:hAnsi="Times New Roman" w:eastAsia="宋体" w:cs="Times New Roman"/>
          <w:b/>
          <w:bCs/>
          <w:kern w:val="2"/>
          <w:sz w:val="24"/>
          <w:szCs w:val="24"/>
          <w:lang w:val="en-US" w:eastAsia="zh-CN" w:bidi="ar"/>
        </w:rPr>
        <w:t>3. Advantages of Retrograde Intravenous Infusion Puncture</w:t>
      </w:r>
    </w:p>
    <w:p w14:paraId="0BB8A6B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Most chronic obstructive pulmonary disease patients in respiratory medicine are elderly. Due to prolonged illness, repeated puncture and infusion, and drug irritation to the vessels, their vessel walls become more permeable, the lumen narrows, the walls harden, and vessels may even become blocked or necrotic. This makes venipuncture very difficult and prone to failure. Retrograde intravenous infusion improves the success rate in these patients and reduces their pain. The advantages are as follows:</w:t>
      </w:r>
    </w:p>
    <w:p w14:paraId="161A708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(1) Retrograde venipuncture does not affect venous return. Veins in the limbs have venous valves that open inward, preventing blood from flowing backward. Therefore, the flow direction of the infused fluid is the same whether antegrade or retrograde puncture is used. So, if the upper segment of a patient’s vein is damaged, the lower segment can be used for retrograde puncture. The blood flow in the lower segment compensates by building rich collateral circulation through communicating branches. Retrograde puncture goes along with this compensatory change; the fluid diverts through the anastomotic branches without affecting the drip rate</w:t>
      </w:r>
      <w:r>
        <w:rPr>
          <w:rFonts w:hint="default" w:ascii="Times New Roman" w:hAnsi="Times New Roman" w:eastAsia="宋体" w:cs="Times New Roman"/>
          <w:b w:val="0"/>
          <w:bCs w:val="0"/>
          <w:kern w:val="2"/>
          <w:sz w:val="24"/>
          <w:szCs w:val="24"/>
          <w:vertAlign w:val="superscript"/>
          <w:lang w:val="en-US" w:eastAsia="zh-CN" w:bidi="ar"/>
        </w:rPr>
        <w:t>[3]</w:t>
      </w:r>
      <w:r>
        <w:rPr>
          <w:rFonts w:hint="default" w:ascii="Times New Roman" w:hAnsi="Times New Roman" w:eastAsia="宋体" w:cs="Times New Roman"/>
          <w:b w:val="0"/>
          <w:bCs w:val="0"/>
          <w:kern w:val="2"/>
          <w:sz w:val="24"/>
          <w:szCs w:val="24"/>
          <w:lang w:val="en-US" w:eastAsia="zh-CN" w:bidi="ar"/>
        </w:rPr>
        <w:t>。This makes it suitable for retrograde infusion, thereby expanding the utilization of veins.</w:t>
      </w:r>
    </w:p>
    <w:p w14:paraId="02CB08C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(2) The first-attempt success rate is higher with retrograde than with antegrade puncture. In antegrade puncture, the needle bevel faces the same direction as the blood flow. For some patients, blood return is relatively slow, or there may be no blood return, which easily leads to puncturing through the vessel wall and failure. In retrograde puncture, the needle bevel faces against the blood flow. Blood return is faster and more easily seen compared to antegrade puncture. This helps lower the risk of puncturing through the vessel, thus improving the success rate.</w:t>
      </w:r>
    </w:p>
    <w:p w14:paraId="01CCAD5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(3) Retrograde puncture has fewer adverse reactions. When the indwelling needle in a retrograde infusion is secured, the tape has a larger supporting area. The fixation is firm, so local swelling, exudation, pain, poor flow, or needle dislodgement are less likely. This reduces the pain from repeated failed punctures, buys valuable time for emergency treatment, and allows damaged vessels to repair. Moreover, studies show that administering irritant drugs via retrograde puncture causes less vascular damage, and the incidence of phlebitis signs like redness, swelling, heat, and pain is lower</w:t>
      </w:r>
      <w:r>
        <w:rPr>
          <w:rFonts w:hint="default" w:ascii="Times New Roman" w:hAnsi="Times New Roman" w:eastAsia="宋体" w:cs="Times New Roman"/>
          <w:b w:val="0"/>
          <w:bCs w:val="0"/>
          <w:kern w:val="2"/>
          <w:sz w:val="24"/>
          <w:szCs w:val="24"/>
          <w:vertAlign w:val="superscript"/>
          <w:lang w:val="en-US" w:eastAsia="zh-CN" w:bidi="ar"/>
        </w:rPr>
        <w:t>[4]</w:t>
      </w:r>
      <w:r>
        <w:rPr>
          <w:rFonts w:hint="default" w:ascii="Times New Roman" w:hAnsi="Times New Roman" w:eastAsia="宋体" w:cs="Times New Roman"/>
          <w:b w:val="0"/>
          <w:bCs w:val="0"/>
          <w:kern w:val="2"/>
          <w:sz w:val="24"/>
          <w:szCs w:val="24"/>
          <w:lang w:val="en-US" w:eastAsia="zh-CN" w:bidi="ar"/>
        </w:rPr>
        <w:t>。Of course, the decision to use retrograde indwelling needle puncture should also consider vein visibility, puncture conditions, and whether the patient has heart failure or edema.</w:t>
      </w:r>
    </w:p>
    <w:p w14:paraId="092745A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 xml:space="preserve">(4) The incidence of fluid leakage is lower with retrograde puncture than with antegrade puncture. Take the veins 1–3 cm above the metacarpophalangeal joints on the back of the hand as an example. With retrograde puncture, the catheter wings rest on the back of the hand, above the joint. This makes fixation easy and firm, and joint movement is not restricted. Leakage causing infusion failure is less likely. With antegrade puncture, the catheter wings end up right on the joint or hanging in the air, making secure fixation very difficult. Leakage occurs more easily, and joint movement causes the catheter to move back and forth in the vessel, damaging the intima, or the catheter may slip out and cause infusion failure </w:t>
      </w:r>
      <w:r>
        <w:rPr>
          <w:rFonts w:hint="default" w:ascii="Times New Roman" w:hAnsi="Times New Roman" w:eastAsia="宋体" w:cs="Times New Roman"/>
          <w:b w:val="0"/>
          <w:bCs w:val="0"/>
          <w:kern w:val="2"/>
          <w:sz w:val="24"/>
          <w:szCs w:val="24"/>
          <w:vertAlign w:val="superscript"/>
          <w:lang w:val="en-US" w:eastAsia="zh-CN" w:bidi="ar"/>
        </w:rPr>
        <w:t>[5]</w:t>
      </w:r>
      <w:r>
        <w:rPr>
          <w:rFonts w:hint="default" w:ascii="Times New Roman" w:hAnsi="Times New Roman" w:eastAsia="宋体" w:cs="Times New Roman"/>
          <w:b w:val="0"/>
          <w:bCs w:val="0"/>
          <w:kern w:val="2"/>
          <w:sz w:val="24"/>
          <w:szCs w:val="24"/>
          <w:lang w:val="en-US" w:eastAsia="zh-CN" w:bidi="ar"/>
        </w:rPr>
        <w:t>。</w:t>
      </w:r>
    </w:p>
    <w:p w14:paraId="4BD506C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482" w:firstLineChars="200"/>
        <w:textAlignment w:val="auto"/>
        <w:rPr>
          <w:rFonts w:hint="default" w:ascii="Times New Roman" w:hAnsi="Times New Roman" w:eastAsia="宋体" w:cs="Times New Roman"/>
          <w:b/>
          <w:bCs/>
          <w:kern w:val="2"/>
          <w:sz w:val="24"/>
          <w:szCs w:val="24"/>
          <w:lang w:val="en-US" w:eastAsia="zh-CN" w:bidi="ar"/>
        </w:rPr>
      </w:pPr>
      <w:r>
        <w:rPr>
          <w:rFonts w:hint="default" w:ascii="Times New Roman" w:hAnsi="Times New Roman" w:eastAsia="宋体" w:cs="Times New Roman"/>
          <w:b/>
          <w:bCs/>
          <w:kern w:val="2"/>
          <w:sz w:val="24"/>
          <w:szCs w:val="24"/>
          <w:lang w:val="en-US" w:eastAsia="zh-CN" w:bidi="ar"/>
        </w:rPr>
        <w:t>4. Clinical Observation</w:t>
      </w:r>
    </w:p>
    <w:p w14:paraId="04487DB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To verify whether retrograde puncture indeed has a higher success rate than antegrade puncture and offers the above advantages, I selected 40 elderly patients and randomly divided them into an intervention group and a control group of 20 each. The details are as follows:</w:t>
      </w:r>
    </w:p>
    <w:p w14:paraId="531C053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(1) Method</w:t>
      </w:r>
    </w:p>
    <w:p w14:paraId="5268DE1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The intervention group received retrograde venipuncture on the finger, palm, wrist, or back of the hand. The control group received antegrade venipuncture at the same sites. We used 22-gauge indwelling needles for all, with the same fixation method. For sites near finger or wrist joints, we kept the patient’s hand naturally relaxed to avoid skin and vessel traction or rebound when relaxing the fist, which could cause the needle tip to pierce the vessel or slip out, or muscle tension that could block blood return. Dorsal hand veins were also accessed in a naturally relaxed position.</w:t>
      </w:r>
    </w:p>
    <w:p w14:paraId="3CC3C3F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(2) Evaluation Indicators</w:t>
      </w:r>
    </w:p>
    <w:p w14:paraId="4DE70E4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We recorded the first-attempt success rate, the rate of second or more attempts, and the fluid leakage rate. The standard for successful puncture was: seeing blood return in the needle and smooth fluid flow. We also used a stopwatch to check the infusion flow rate in both groups. See Table 2-2.</w:t>
      </w:r>
    </w:p>
    <w:p w14:paraId="1A653EA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center"/>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Table 2-2 Comparison of Antegrade and Retrograde Puncture Methods</w:t>
      </w:r>
    </w:p>
    <w:tbl>
      <w:tblPr>
        <w:tblStyle w:val="8"/>
        <w:tblW w:w="8337" w:type="dxa"/>
        <w:jc w:val="center"/>
        <w:tblBorders>
          <w:top w:val="single" w:color="7E7E7E" w:sz="4" w:space="0"/>
          <w:left w:val="none" w:color="auto" w:sz="6" w:space="0"/>
          <w:bottom w:val="single" w:color="7E7E7E" w:sz="4" w:space="0"/>
          <w:right w:val="none" w:color="auto" w:sz="6" w:space="0"/>
          <w:insideH w:val="outset" w:color="auto" w:sz="6" w:space="0"/>
          <w:insideV w:val="outset" w:color="auto" w:sz="6" w:space="0"/>
        </w:tblBorders>
        <w:shd w:val="clear" w:color="auto" w:fill="auto"/>
        <w:tblLayout w:type="fixed"/>
        <w:tblCellMar>
          <w:top w:w="0" w:type="dxa"/>
          <w:left w:w="108" w:type="dxa"/>
          <w:bottom w:w="0" w:type="dxa"/>
          <w:right w:w="108" w:type="dxa"/>
        </w:tblCellMar>
      </w:tblPr>
      <w:tblGrid>
        <w:gridCol w:w="2779"/>
        <w:gridCol w:w="2779"/>
        <w:gridCol w:w="2779"/>
      </w:tblGrid>
      <w:tr w14:paraId="146C1F7C">
        <w:tblPrEx>
          <w:tblBorders>
            <w:top w:val="single" w:color="7E7E7E" w:sz="4" w:space="0"/>
            <w:left w:val="none" w:color="auto" w:sz="6" w:space="0"/>
            <w:bottom w:val="single" w:color="7E7E7E" w:sz="4" w:space="0"/>
            <w:right w:val="none" w:color="auto" w:sz="6" w:space="0"/>
            <w:insideH w:val="outset" w:color="auto" w:sz="6" w:space="0"/>
            <w:insideV w:val="outset" w:color="auto" w:sz="6" w:space="0"/>
          </w:tblBorders>
          <w:shd w:val="clear" w:color="auto" w:fill="auto"/>
          <w:tblCellMar>
            <w:top w:w="0" w:type="dxa"/>
            <w:left w:w="108" w:type="dxa"/>
            <w:bottom w:w="0" w:type="dxa"/>
            <w:right w:w="108" w:type="dxa"/>
          </w:tblCellMar>
        </w:tblPrEx>
        <w:trPr>
          <w:jc w:val="center"/>
        </w:trPr>
        <w:tc>
          <w:tcPr>
            <w:tcW w:w="2779" w:type="dxa"/>
            <w:tcBorders>
              <w:top w:val="single" w:color="000000" w:sz="12" w:space="0"/>
              <w:left w:val="nil"/>
              <w:bottom w:val="single" w:color="000000" w:sz="4" w:space="0"/>
              <w:right w:val="nil"/>
            </w:tcBorders>
            <w:shd w:val="clear" w:color="auto" w:fill="FFFFFF"/>
            <w:vAlign w:val="center"/>
          </w:tcPr>
          <w:p w14:paraId="72CAE474">
            <w:pPr>
              <w:keepNext w:val="0"/>
              <w:keepLines w:val="0"/>
              <w:pageBreakBefore w:val="0"/>
              <w:widowControl/>
              <w:suppressLineNumbers w:val="0"/>
              <w:kinsoku/>
              <w:wordWrap/>
              <w:overflowPunct/>
              <w:topLinePunct w:val="0"/>
              <w:autoSpaceDN/>
              <w:bidi w:val="0"/>
              <w:adjustRightInd/>
              <w:snapToGrid/>
              <w:spacing w:line="360" w:lineRule="auto"/>
              <w:jc w:val="center"/>
              <w:textAlignment w:val="auto"/>
              <w:rPr>
                <w:rFonts w:hint="default" w:ascii="Times New Roman" w:hAnsi="Times New Roman" w:eastAsia="宋体" w:cs="Times New Roman"/>
                <w:b w:val="0"/>
                <w:bCs w:val="0"/>
                <w:color w:val="000000"/>
                <w:kern w:val="0"/>
                <w:sz w:val="24"/>
                <w:szCs w:val="24"/>
              </w:rPr>
            </w:pPr>
            <w:r>
              <w:rPr>
                <w:rFonts w:hint="default" w:ascii="Times New Roman" w:hAnsi="Times New Roman" w:eastAsia="Segoe UI" w:cs="Times New Roman"/>
                <w:b w:val="0"/>
                <w:bCs w:val="0"/>
                <w:i w:val="0"/>
                <w:iCs w:val="0"/>
                <w:caps w:val="0"/>
                <w:color w:val="0F1115"/>
                <w:spacing w:val="0"/>
                <w:kern w:val="0"/>
                <w:sz w:val="24"/>
                <w:szCs w:val="15"/>
                <w:lang w:val="en-US" w:eastAsia="zh-CN" w:bidi="ar"/>
              </w:rPr>
              <w:t>Group</w:t>
            </w:r>
          </w:p>
        </w:tc>
        <w:tc>
          <w:tcPr>
            <w:tcW w:w="2779" w:type="dxa"/>
            <w:tcBorders>
              <w:top w:val="single" w:color="000000" w:sz="12" w:space="0"/>
              <w:left w:val="nil"/>
              <w:bottom w:val="single" w:color="000000" w:sz="4" w:space="0"/>
              <w:right w:val="nil"/>
            </w:tcBorders>
            <w:shd w:val="clear" w:color="auto" w:fill="FFFFFF"/>
            <w:vAlign w:val="center"/>
          </w:tcPr>
          <w:p w14:paraId="157F72BE">
            <w:pPr>
              <w:keepNext w:val="0"/>
              <w:keepLines w:val="0"/>
              <w:pageBreakBefore w:val="0"/>
              <w:widowControl/>
              <w:suppressLineNumbers w:val="0"/>
              <w:kinsoku/>
              <w:wordWrap/>
              <w:overflowPunct/>
              <w:topLinePunct w:val="0"/>
              <w:autoSpaceDN/>
              <w:bidi w:val="0"/>
              <w:adjustRightInd/>
              <w:snapToGrid/>
              <w:spacing w:line="360" w:lineRule="auto"/>
              <w:jc w:val="center"/>
              <w:textAlignment w:val="auto"/>
              <w:rPr>
                <w:rFonts w:hint="default" w:ascii="Times New Roman" w:hAnsi="Times New Roman" w:eastAsia="宋体" w:cs="Times New Roman"/>
                <w:b w:val="0"/>
                <w:bCs w:val="0"/>
                <w:color w:val="000000"/>
                <w:kern w:val="0"/>
                <w:sz w:val="24"/>
                <w:szCs w:val="24"/>
              </w:rPr>
            </w:pPr>
            <w:r>
              <w:rPr>
                <w:rFonts w:hint="default" w:ascii="Times New Roman" w:hAnsi="Times New Roman" w:eastAsia="Segoe UI" w:cs="Times New Roman"/>
                <w:b w:val="0"/>
                <w:bCs w:val="0"/>
                <w:i w:val="0"/>
                <w:iCs w:val="0"/>
                <w:caps w:val="0"/>
                <w:color w:val="0F1115"/>
                <w:spacing w:val="0"/>
                <w:kern w:val="0"/>
                <w:sz w:val="24"/>
                <w:szCs w:val="15"/>
                <w:lang w:val="en-US" w:eastAsia="zh-CN" w:bidi="ar"/>
              </w:rPr>
              <w:t>Control Group</w:t>
            </w:r>
          </w:p>
        </w:tc>
        <w:tc>
          <w:tcPr>
            <w:tcW w:w="2779" w:type="dxa"/>
            <w:tcBorders>
              <w:top w:val="single" w:color="000000" w:sz="12" w:space="0"/>
              <w:left w:val="nil"/>
              <w:bottom w:val="single" w:color="000000" w:sz="4" w:space="0"/>
              <w:right w:val="nil"/>
            </w:tcBorders>
            <w:shd w:val="clear" w:color="auto" w:fill="FFFFFF"/>
            <w:vAlign w:val="center"/>
          </w:tcPr>
          <w:p w14:paraId="5280C5FC">
            <w:pPr>
              <w:keepNext w:val="0"/>
              <w:keepLines w:val="0"/>
              <w:pageBreakBefore w:val="0"/>
              <w:widowControl/>
              <w:suppressLineNumbers w:val="0"/>
              <w:kinsoku/>
              <w:wordWrap/>
              <w:overflowPunct/>
              <w:topLinePunct w:val="0"/>
              <w:autoSpaceDN/>
              <w:bidi w:val="0"/>
              <w:adjustRightInd/>
              <w:snapToGrid/>
              <w:spacing w:line="360" w:lineRule="auto"/>
              <w:jc w:val="center"/>
              <w:textAlignment w:val="auto"/>
              <w:rPr>
                <w:rFonts w:hint="default" w:ascii="Times New Roman" w:hAnsi="Times New Roman" w:eastAsia="宋体" w:cs="Times New Roman"/>
                <w:b w:val="0"/>
                <w:bCs w:val="0"/>
                <w:color w:val="000000"/>
                <w:kern w:val="0"/>
                <w:sz w:val="24"/>
                <w:szCs w:val="24"/>
              </w:rPr>
            </w:pPr>
            <w:r>
              <w:rPr>
                <w:rFonts w:hint="default" w:ascii="Times New Roman" w:hAnsi="Times New Roman" w:eastAsia="Segoe UI" w:cs="Times New Roman"/>
                <w:b w:val="0"/>
                <w:bCs w:val="0"/>
                <w:i w:val="0"/>
                <w:iCs w:val="0"/>
                <w:caps w:val="0"/>
                <w:color w:val="0F1115"/>
                <w:spacing w:val="0"/>
                <w:kern w:val="0"/>
                <w:sz w:val="24"/>
                <w:szCs w:val="15"/>
                <w:lang w:val="en-US" w:eastAsia="zh-CN" w:bidi="ar"/>
              </w:rPr>
              <w:t>Intervention Group</w:t>
            </w:r>
          </w:p>
        </w:tc>
      </w:tr>
      <w:tr w14:paraId="4B527A46">
        <w:tblPrEx>
          <w:tblBorders>
            <w:top w:val="single" w:color="7E7E7E" w:sz="4" w:space="0"/>
            <w:left w:val="none" w:color="auto" w:sz="6" w:space="0"/>
            <w:bottom w:val="single" w:color="7E7E7E" w:sz="4" w:space="0"/>
            <w:right w:val="none" w:color="auto" w:sz="6" w:space="0"/>
            <w:insideH w:val="outset" w:color="auto" w:sz="6" w:space="0"/>
            <w:insideV w:val="outset" w:color="auto" w:sz="6" w:space="0"/>
          </w:tblBorders>
          <w:shd w:val="clear" w:color="auto" w:fill="auto"/>
          <w:tblCellMar>
            <w:top w:w="0" w:type="dxa"/>
            <w:left w:w="108" w:type="dxa"/>
            <w:bottom w:w="0" w:type="dxa"/>
            <w:right w:w="108" w:type="dxa"/>
          </w:tblCellMar>
        </w:tblPrEx>
        <w:trPr>
          <w:jc w:val="center"/>
        </w:trPr>
        <w:tc>
          <w:tcPr>
            <w:tcW w:w="2779" w:type="dxa"/>
            <w:tcBorders>
              <w:top w:val="single" w:color="000000" w:sz="4" w:space="0"/>
              <w:left w:val="nil"/>
              <w:bottom w:val="nil"/>
              <w:right w:val="nil"/>
            </w:tcBorders>
            <w:shd w:val="clear" w:color="auto" w:fill="FFFFFF"/>
            <w:vAlign w:val="center"/>
          </w:tcPr>
          <w:p w14:paraId="6DC882A6">
            <w:pPr>
              <w:keepNext w:val="0"/>
              <w:keepLines w:val="0"/>
              <w:pageBreakBefore w:val="0"/>
              <w:widowControl/>
              <w:suppressLineNumbers w:val="0"/>
              <w:kinsoku/>
              <w:wordWrap/>
              <w:overflowPunct/>
              <w:topLinePunct w:val="0"/>
              <w:autoSpaceDN/>
              <w:bidi w:val="0"/>
              <w:adjustRightInd/>
              <w:snapToGrid/>
              <w:spacing w:line="360" w:lineRule="auto"/>
              <w:jc w:val="center"/>
              <w:textAlignment w:val="auto"/>
              <w:rPr>
                <w:rFonts w:hint="default" w:ascii="Times New Roman" w:hAnsi="Times New Roman" w:eastAsia="宋体" w:cs="Times New Roman"/>
                <w:b w:val="0"/>
                <w:bCs w:val="0"/>
                <w:color w:val="000000"/>
                <w:kern w:val="0"/>
                <w:sz w:val="24"/>
                <w:szCs w:val="24"/>
              </w:rPr>
            </w:pPr>
            <w:r>
              <w:rPr>
                <w:rFonts w:hint="default" w:ascii="Times New Roman" w:hAnsi="Times New Roman" w:eastAsia="Segoe UI" w:cs="Times New Roman"/>
                <w:b w:val="0"/>
                <w:bCs w:val="0"/>
                <w:i w:val="0"/>
                <w:iCs w:val="0"/>
                <w:caps w:val="0"/>
                <w:color w:val="0F1115"/>
                <w:spacing w:val="0"/>
                <w:kern w:val="0"/>
                <w:sz w:val="24"/>
                <w:szCs w:val="15"/>
                <w:lang w:val="en-US" w:eastAsia="zh-CN" w:bidi="ar"/>
              </w:rPr>
              <w:t>Number of Cases</w:t>
            </w:r>
          </w:p>
        </w:tc>
        <w:tc>
          <w:tcPr>
            <w:tcW w:w="2779" w:type="dxa"/>
            <w:tcBorders>
              <w:top w:val="single" w:color="000000" w:sz="4" w:space="0"/>
              <w:left w:val="nil"/>
              <w:bottom w:val="nil"/>
              <w:right w:val="nil"/>
            </w:tcBorders>
            <w:shd w:val="clear" w:color="auto" w:fill="FFFFFF"/>
            <w:vAlign w:val="center"/>
          </w:tcPr>
          <w:p w14:paraId="695A845C">
            <w:pPr>
              <w:keepNext w:val="0"/>
              <w:keepLines w:val="0"/>
              <w:pageBreakBefore w:val="0"/>
              <w:widowControl/>
              <w:suppressLineNumbers w:val="0"/>
              <w:kinsoku/>
              <w:wordWrap/>
              <w:overflowPunct/>
              <w:topLinePunct w:val="0"/>
              <w:autoSpaceDN/>
              <w:bidi w:val="0"/>
              <w:adjustRightInd/>
              <w:snapToGrid/>
              <w:spacing w:line="360" w:lineRule="auto"/>
              <w:jc w:val="center"/>
              <w:textAlignment w:val="auto"/>
              <w:rPr>
                <w:rFonts w:hint="default" w:ascii="Times New Roman" w:hAnsi="Times New Roman" w:eastAsia="宋体" w:cs="Times New Roman"/>
                <w:b w:val="0"/>
                <w:bCs w:val="0"/>
                <w:color w:val="000000"/>
                <w:kern w:val="0"/>
                <w:sz w:val="24"/>
                <w:szCs w:val="24"/>
              </w:rPr>
            </w:pPr>
            <w:r>
              <w:rPr>
                <w:rFonts w:hint="default" w:ascii="Times New Roman" w:hAnsi="Times New Roman" w:eastAsia="Segoe UI" w:cs="Times New Roman"/>
                <w:b w:val="0"/>
                <w:bCs w:val="0"/>
                <w:i w:val="0"/>
                <w:iCs w:val="0"/>
                <w:caps w:val="0"/>
                <w:color w:val="0F1115"/>
                <w:spacing w:val="0"/>
                <w:kern w:val="0"/>
                <w:sz w:val="24"/>
                <w:szCs w:val="15"/>
                <w:lang w:val="en-US" w:eastAsia="zh-CN" w:bidi="ar"/>
              </w:rPr>
              <w:t>20</w:t>
            </w:r>
          </w:p>
        </w:tc>
        <w:tc>
          <w:tcPr>
            <w:tcW w:w="2779" w:type="dxa"/>
            <w:tcBorders>
              <w:top w:val="single" w:color="000000" w:sz="4" w:space="0"/>
              <w:left w:val="nil"/>
              <w:bottom w:val="nil"/>
              <w:right w:val="nil"/>
            </w:tcBorders>
            <w:shd w:val="clear" w:color="auto" w:fill="FFFFFF"/>
            <w:vAlign w:val="center"/>
          </w:tcPr>
          <w:p w14:paraId="6EBDF7E4">
            <w:pPr>
              <w:keepNext w:val="0"/>
              <w:keepLines w:val="0"/>
              <w:pageBreakBefore w:val="0"/>
              <w:widowControl/>
              <w:suppressLineNumbers w:val="0"/>
              <w:kinsoku/>
              <w:wordWrap/>
              <w:overflowPunct/>
              <w:topLinePunct w:val="0"/>
              <w:autoSpaceDN/>
              <w:bidi w:val="0"/>
              <w:adjustRightInd/>
              <w:snapToGrid/>
              <w:spacing w:line="360" w:lineRule="auto"/>
              <w:jc w:val="center"/>
              <w:textAlignment w:val="auto"/>
              <w:rPr>
                <w:rFonts w:hint="default" w:ascii="Times New Roman" w:hAnsi="Times New Roman" w:eastAsia="宋体" w:cs="Times New Roman"/>
                <w:b w:val="0"/>
                <w:bCs w:val="0"/>
                <w:color w:val="000000"/>
                <w:kern w:val="0"/>
                <w:sz w:val="24"/>
                <w:szCs w:val="24"/>
              </w:rPr>
            </w:pPr>
            <w:r>
              <w:rPr>
                <w:rFonts w:hint="default" w:ascii="Times New Roman" w:hAnsi="Times New Roman" w:eastAsia="Segoe UI" w:cs="Times New Roman"/>
                <w:b w:val="0"/>
                <w:bCs w:val="0"/>
                <w:i w:val="0"/>
                <w:iCs w:val="0"/>
                <w:caps w:val="0"/>
                <w:color w:val="0F1115"/>
                <w:spacing w:val="0"/>
                <w:kern w:val="0"/>
                <w:sz w:val="24"/>
                <w:szCs w:val="15"/>
                <w:lang w:val="en-US" w:eastAsia="zh-CN" w:bidi="ar"/>
              </w:rPr>
              <w:t>20</w:t>
            </w:r>
          </w:p>
        </w:tc>
      </w:tr>
      <w:tr w14:paraId="624AEE87">
        <w:tblPrEx>
          <w:tblBorders>
            <w:top w:val="single" w:color="7E7E7E" w:sz="4" w:space="0"/>
            <w:left w:val="none" w:color="auto" w:sz="6" w:space="0"/>
            <w:bottom w:val="single" w:color="7E7E7E" w:sz="4" w:space="0"/>
            <w:right w:val="none" w:color="auto" w:sz="6" w:space="0"/>
            <w:insideH w:val="outset" w:color="auto" w:sz="6" w:space="0"/>
            <w:insideV w:val="outset" w:color="auto" w:sz="6" w:space="0"/>
          </w:tblBorders>
          <w:shd w:val="clear" w:color="auto" w:fill="auto"/>
          <w:tblCellMar>
            <w:top w:w="0" w:type="dxa"/>
            <w:left w:w="108" w:type="dxa"/>
            <w:bottom w:w="0" w:type="dxa"/>
            <w:right w:w="108" w:type="dxa"/>
          </w:tblCellMar>
        </w:tblPrEx>
        <w:trPr>
          <w:jc w:val="center"/>
        </w:trPr>
        <w:tc>
          <w:tcPr>
            <w:tcW w:w="2779" w:type="dxa"/>
            <w:tcBorders>
              <w:top w:val="nil"/>
              <w:left w:val="nil"/>
              <w:bottom w:val="nil"/>
              <w:right w:val="nil"/>
            </w:tcBorders>
            <w:shd w:val="clear" w:color="auto" w:fill="FFFFFF"/>
            <w:vAlign w:val="center"/>
          </w:tcPr>
          <w:p w14:paraId="0547CBAD">
            <w:pPr>
              <w:keepNext w:val="0"/>
              <w:keepLines w:val="0"/>
              <w:pageBreakBefore w:val="0"/>
              <w:widowControl/>
              <w:suppressLineNumbers w:val="0"/>
              <w:kinsoku/>
              <w:wordWrap/>
              <w:overflowPunct/>
              <w:topLinePunct w:val="0"/>
              <w:autoSpaceDN/>
              <w:bidi w:val="0"/>
              <w:adjustRightInd/>
              <w:snapToGrid/>
              <w:spacing w:line="360" w:lineRule="auto"/>
              <w:jc w:val="center"/>
              <w:textAlignment w:val="auto"/>
              <w:rPr>
                <w:rFonts w:hint="default" w:ascii="Times New Roman" w:hAnsi="Times New Roman" w:eastAsia="宋体" w:cs="Times New Roman"/>
                <w:b w:val="0"/>
                <w:bCs w:val="0"/>
                <w:color w:val="000000"/>
                <w:kern w:val="0"/>
                <w:sz w:val="24"/>
                <w:szCs w:val="24"/>
              </w:rPr>
            </w:pPr>
            <w:r>
              <w:rPr>
                <w:rFonts w:hint="default" w:ascii="Times New Roman" w:hAnsi="Times New Roman" w:eastAsia="Segoe UI" w:cs="Times New Roman"/>
                <w:b w:val="0"/>
                <w:bCs w:val="0"/>
                <w:i w:val="0"/>
                <w:iCs w:val="0"/>
                <w:caps w:val="0"/>
                <w:color w:val="0F1115"/>
                <w:spacing w:val="0"/>
                <w:kern w:val="0"/>
                <w:sz w:val="24"/>
                <w:szCs w:val="15"/>
                <w:lang w:val="en-US" w:eastAsia="zh-CN" w:bidi="ar"/>
              </w:rPr>
              <w:t>First-Attempt Success</w:t>
            </w:r>
          </w:p>
        </w:tc>
        <w:tc>
          <w:tcPr>
            <w:tcW w:w="2779" w:type="dxa"/>
            <w:tcBorders>
              <w:top w:val="nil"/>
              <w:left w:val="nil"/>
              <w:bottom w:val="nil"/>
              <w:right w:val="nil"/>
            </w:tcBorders>
            <w:shd w:val="clear" w:color="auto" w:fill="FFFFFF"/>
            <w:vAlign w:val="center"/>
          </w:tcPr>
          <w:p w14:paraId="60C68C07">
            <w:pPr>
              <w:keepNext w:val="0"/>
              <w:keepLines w:val="0"/>
              <w:pageBreakBefore w:val="0"/>
              <w:widowControl/>
              <w:suppressLineNumbers w:val="0"/>
              <w:kinsoku/>
              <w:wordWrap/>
              <w:overflowPunct/>
              <w:topLinePunct w:val="0"/>
              <w:autoSpaceDN/>
              <w:bidi w:val="0"/>
              <w:adjustRightInd/>
              <w:snapToGrid/>
              <w:spacing w:line="360" w:lineRule="auto"/>
              <w:jc w:val="center"/>
              <w:textAlignment w:val="auto"/>
              <w:rPr>
                <w:rFonts w:hint="default" w:ascii="Times New Roman" w:hAnsi="Times New Roman" w:eastAsia="宋体" w:cs="Times New Roman"/>
                <w:b w:val="0"/>
                <w:bCs w:val="0"/>
                <w:color w:val="000000"/>
                <w:kern w:val="0"/>
                <w:sz w:val="24"/>
                <w:szCs w:val="24"/>
              </w:rPr>
            </w:pPr>
            <w:r>
              <w:rPr>
                <w:rFonts w:hint="default" w:ascii="Times New Roman" w:hAnsi="Times New Roman" w:eastAsia="Segoe UI" w:cs="Times New Roman"/>
                <w:b w:val="0"/>
                <w:bCs w:val="0"/>
                <w:i w:val="0"/>
                <w:iCs w:val="0"/>
                <w:caps w:val="0"/>
                <w:color w:val="0F1115"/>
                <w:spacing w:val="0"/>
                <w:kern w:val="0"/>
                <w:sz w:val="24"/>
                <w:szCs w:val="15"/>
                <w:lang w:val="en-US" w:eastAsia="zh-CN" w:bidi="ar"/>
              </w:rPr>
              <w:t>10</w:t>
            </w:r>
          </w:p>
        </w:tc>
        <w:tc>
          <w:tcPr>
            <w:tcW w:w="2779" w:type="dxa"/>
            <w:tcBorders>
              <w:top w:val="nil"/>
              <w:left w:val="nil"/>
              <w:bottom w:val="nil"/>
              <w:right w:val="nil"/>
            </w:tcBorders>
            <w:shd w:val="clear" w:color="auto" w:fill="FFFFFF"/>
            <w:vAlign w:val="center"/>
          </w:tcPr>
          <w:p w14:paraId="0F59B1A2">
            <w:pPr>
              <w:keepNext w:val="0"/>
              <w:keepLines w:val="0"/>
              <w:pageBreakBefore w:val="0"/>
              <w:widowControl/>
              <w:suppressLineNumbers w:val="0"/>
              <w:kinsoku/>
              <w:wordWrap/>
              <w:overflowPunct/>
              <w:topLinePunct w:val="0"/>
              <w:autoSpaceDN/>
              <w:bidi w:val="0"/>
              <w:adjustRightInd/>
              <w:snapToGrid/>
              <w:spacing w:line="360" w:lineRule="auto"/>
              <w:jc w:val="center"/>
              <w:textAlignment w:val="auto"/>
              <w:rPr>
                <w:rFonts w:hint="default" w:ascii="Times New Roman" w:hAnsi="Times New Roman" w:eastAsia="宋体" w:cs="Times New Roman"/>
                <w:b w:val="0"/>
                <w:bCs w:val="0"/>
                <w:color w:val="000000"/>
                <w:kern w:val="0"/>
                <w:sz w:val="24"/>
                <w:szCs w:val="24"/>
              </w:rPr>
            </w:pPr>
            <w:r>
              <w:rPr>
                <w:rFonts w:hint="default" w:ascii="Times New Roman" w:hAnsi="Times New Roman" w:eastAsia="Segoe UI" w:cs="Times New Roman"/>
                <w:b w:val="0"/>
                <w:bCs w:val="0"/>
                <w:i w:val="0"/>
                <w:iCs w:val="0"/>
                <w:caps w:val="0"/>
                <w:color w:val="0F1115"/>
                <w:spacing w:val="0"/>
                <w:kern w:val="0"/>
                <w:sz w:val="24"/>
                <w:szCs w:val="15"/>
                <w:lang w:val="en-US" w:eastAsia="zh-CN" w:bidi="ar"/>
              </w:rPr>
              <w:t>17</w:t>
            </w:r>
          </w:p>
        </w:tc>
      </w:tr>
      <w:tr w14:paraId="48F9DDB3">
        <w:tblPrEx>
          <w:tblBorders>
            <w:top w:val="single" w:color="7E7E7E" w:sz="4" w:space="0"/>
            <w:left w:val="none" w:color="auto" w:sz="6" w:space="0"/>
            <w:bottom w:val="single" w:color="7E7E7E" w:sz="4" w:space="0"/>
            <w:right w:val="none" w:color="auto" w:sz="6" w:space="0"/>
            <w:insideH w:val="outset" w:color="auto" w:sz="6" w:space="0"/>
            <w:insideV w:val="outset" w:color="auto" w:sz="6" w:space="0"/>
          </w:tblBorders>
          <w:shd w:val="clear" w:color="auto" w:fill="auto"/>
          <w:tblCellMar>
            <w:top w:w="0" w:type="dxa"/>
            <w:left w:w="108" w:type="dxa"/>
            <w:bottom w:w="0" w:type="dxa"/>
            <w:right w:w="108" w:type="dxa"/>
          </w:tblCellMar>
        </w:tblPrEx>
        <w:trPr>
          <w:jc w:val="center"/>
        </w:trPr>
        <w:tc>
          <w:tcPr>
            <w:tcW w:w="2779" w:type="dxa"/>
            <w:tcBorders>
              <w:top w:val="nil"/>
              <w:left w:val="nil"/>
              <w:bottom w:val="single" w:color="000000" w:sz="12" w:space="0"/>
              <w:right w:val="nil"/>
            </w:tcBorders>
            <w:shd w:val="clear" w:color="auto" w:fill="FFFFFF"/>
            <w:vAlign w:val="center"/>
          </w:tcPr>
          <w:p w14:paraId="4E6C9AC7">
            <w:pPr>
              <w:keepNext w:val="0"/>
              <w:keepLines w:val="0"/>
              <w:pageBreakBefore w:val="0"/>
              <w:widowControl/>
              <w:suppressLineNumbers w:val="0"/>
              <w:kinsoku/>
              <w:wordWrap/>
              <w:overflowPunct/>
              <w:topLinePunct w:val="0"/>
              <w:autoSpaceDN/>
              <w:bidi w:val="0"/>
              <w:adjustRightInd/>
              <w:snapToGrid/>
              <w:spacing w:line="360" w:lineRule="auto"/>
              <w:jc w:val="center"/>
              <w:textAlignment w:val="auto"/>
              <w:rPr>
                <w:rFonts w:hint="default" w:ascii="Times New Roman" w:hAnsi="Times New Roman" w:eastAsia="宋体" w:cs="Times New Roman"/>
                <w:b w:val="0"/>
                <w:bCs w:val="0"/>
                <w:color w:val="000000"/>
                <w:kern w:val="0"/>
                <w:sz w:val="24"/>
                <w:szCs w:val="24"/>
              </w:rPr>
            </w:pPr>
            <w:r>
              <w:rPr>
                <w:rFonts w:hint="default" w:ascii="Times New Roman" w:hAnsi="Times New Roman" w:eastAsia="Segoe UI" w:cs="Times New Roman"/>
                <w:b w:val="0"/>
                <w:bCs w:val="0"/>
                <w:i w:val="0"/>
                <w:iCs w:val="0"/>
                <w:caps w:val="0"/>
                <w:color w:val="0F1115"/>
                <w:spacing w:val="0"/>
                <w:kern w:val="0"/>
                <w:sz w:val="24"/>
                <w:szCs w:val="15"/>
                <w:lang w:val="en-US" w:eastAsia="zh-CN" w:bidi="ar"/>
              </w:rPr>
              <w:t>Two or More Attempts</w:t>
            </w:r>
          </w:p>
        </w:tc>
        <w:tc>
          <w:tcPr>
            <w:tcW w:w="2779" w:type="dxa"/>
            <w:tcBorders>
              <w:top w:val="nil"/>
              <w:left w:val="nil"/>
              <w:bottom w:val="single" w:color="000000" w:sz="12" w:space="0"/>
              <w:right w:val="nil"/>
            </w:tcBorders>
            <w:shd w:val="clear" w:color="auto" w:fill="FFFFFF"/>
            <w:vAlign w:val="center"/>
          </w:tcPr>
          <w:p w14:paraId="4125291A">
            <w:pPr>
              <w:keepNext w:val="0"/>
              <w:keepLines w:val="0"/>
              <w:pageBreakBefore w:val="0"/>
              <w:widowControl/>
              <w:suppressLineNumbers w:val="0"/>
              <w:kinsoku/>
              <w:wordWrap/>
              <w:overflowPunct/>
              <w:topLinePunct w:val="0"/>
              <w:autoSpaceDN/>
              <w:bidi w:val="0"/>
              <w:adjustRightInd/>
              <w:snapToGrid/>
              <w:spacing w:line="360" w:lineRule="auto"/>
              <w:jc w:val="center"/>
              <w:textAlignment w:val="auto"/>
              <w:rPr>
                <w:rFonts w:hint="default" w:ascii="Times New Roman" w:hAnsi="Times New Roman" w:eastAsia="宋体" w:cs="Times New Roman"/>
                <w:b w:val="0"/>
                <w:bCs w:val="0"/>
                <w:color w:val="000000"/>
                <w:kern w:val="0"/>
                <w:sz w:val="24"/>
                <w:szCs w:val="24"/>
              </w:rPr>
            </w:pPr>
            <w:r>
              <w:rPr>
                <w:rFonts w:hint="default" w:ascii="Times New Roman" w:hAnsi="Times New Roman" w:eastAsia="Segoe UI" w:cs="Times New Roman"/>
                <w:b w:val="0"/>
                <w:bCs w:val="0"/>
                <w:i w:val="0"/>
                <w:iCs w:val="0"/>
                <w:caps w:val="0"/>
                <w:color w:val="0F1115"/>
                <w:spacing w:val="0"/>
                <w:kern w:val="0"/>
                <w:sz w:val="24"/>
                <w:szCs w:val="15"/>
                <w:lang w:val="en-US" w:eastAsia="zh-CN" w:bidi="ar"/>
              </w:rPr>
              <w:t>5</w:t>
            </w:r>
          </w:p>
        </w:tc>
        <w:tc>
          <w:tcPr>
            <w:tcW w:w="2779" w:type="dxa"/>
            <w:tcBorders>
              <w:top w:val="nil"/>
              <w:left w:val="nil"/>
              <w:bottom w:val="single" w:color="000000" w:sz="12" w:space="0"/>
              <w:right w:val="nil"/>
            </w:tcBorders>
            <w:shd w:val="clear" w:color="auto" w:fill="FFFFFF"/>
            <w:vAlign w:val="center"/>
          </w:tcPr>
          <w:p w14:paraId="096BAE52">
            <w:pPr>
              <w:keepNext w:val="0"/>
              <w:keepLines w:val="0"/>
              <w:pageBreakBefore w:val="0"/>
              <w:widowControl/>
              <w:suppressLineNumbers w:val="0"/>
              <w:kinsoku/>
              <w:wordWrap/>
              <w:overflowPunct/>
              <w:topLinePunct w:val="0"/>
              <w:autoSpaceDN/>
              <w:bidi w:val="0"/>
              <w:adjustRightInd/>
              <w:snapToGrid/>
              <w:spacing w:line="360" w:lineRule="auto"/>
              <w:jc w:val="center"/>
              <w:textAlignment w:val="auto"/>
              <w:rPr>
                <w:rFonts w:hint="default" w:ascii="Times New Roman" w:hAnsi="Times New Roman" w:eastAsia="宋体" w:cs="Times New Roman"/>
                <w:b w:val="0"/>
                <w:bCs w:val="0"/>
                <w:color w:val="000000"/>
                <w:kern w:val="0"/>
                <w:sz w:val="24"/>
                <w:szCs w:val="24"/>
              </w:rPr>
            </w:pPr>
            <w:r>
              <w:rPr>
                <w:rFonts w:hint="default" w:ascii="Times New Roman" w:hAnsi="Times New Roman" w:eastAsia="Segoe UI" w:cs="Times New Roman"/>
                <w:b w:val="0"/>
                <w:bCs w:val="0"/>
                <w:i w:val="0"/>
                <w:iCs w:val="0"/>
                <w:caps w:val="0"/>
                <w:color w:val="0F1115"/>
                <w:spacing w:val="0"/>
                <w:kern w:val="0"/>
                <w:sz w:val="24"/>
                <w:szCs w:val="15"/>
                <w:lang w:val="en-US" w:eastAsia="zh-CN" w:bidi="ar"/>
              </w:rPr>
              <w:t>3</w:t>
            </w:r>
          </w:p>
        </w:tc>
      </w:tr>
    </w:tbl>
    <w:p w14:paraId="705A779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Through a two-month experiment and observation, my instructor and I were pleasantly surprised to find that the success rate of retrograde indwelling needle puncture was very high, with no complications like phlebitis occurring. Practice proved that this method is feasible and deserves to be promoted in clinical nursing.</w:t>
      </w:r>
    </w:p>
    <w:p w14:paraId="12875E7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The two months in the respiratory department passed quickly. Under my instructor’s guidance, my puncture skills improved greatly. Whenever a patient told me, “Nurse, your injection technique is good, you always get it right the first time,” I felt very gratified and happy about my progress over the two months. Many patients in the department are elderly. To do my best, within my ability, to improve the puncture success rate is something wonderful. In clinical practice, there are many more problems waiting for us to discover, explore, and practice. I hope I can do more for my patients.</w:t>
      </w:r>
    </w:p>
    <w:p w14:paraId="52B2CC6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482" w:firstLineChars="200"/>
        <w:textAlignment w:val="auto"/>
        <w:rPr>
          <w:rFonts w:hint="default" w:ascii="Times New Roman" w:hAnsi="Times New Roman" w:eastAsia="宋体" w:cs="Times New Roman"/>
          <w:b/>
          <w:bCs/>
          <w:kern w:val="2"/>
          <w:sz w:val="24"/>
          <w:szCs w:val="24"/>
          <w:lang w:val="en-US" w:eastAsia="zh-CN" w:bidi="ar"/>
        </w:rPr>
      </w:pPr>
      <w:r>
        <w:rPr>
          <w:rFonts w:hint="default" w:ascii="Times New Roman" w:hAnsi="Times New Roman" w:eastAsia="宋体" w:cs="Times New Roman"/>
          <w:b/>
          <w:bCs/>
          <w:kern w:val="2"/>
          <w:sz w:val="24"/>
          <w:szCs w:val="24"/>
          <w:lang w:val="en-US" w:eastAsia="zh-CN" w:bidi="ar"/>
        </w:rPr>
        <w:t>5. Brief Summary</w:t>
      </w:r>
    </w:p>
    <w:p w14:paraId="4D73486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 xml:space="preserve">Using retrograde intravenous infusion not only brought convenience to my infusion procedures but also fully utilized the veins near the patients’ finger joints. It truly follows the principle of using veins </w:t>
      </w:r>
      <w:bookmarkStart w:id="2" w:name="_GoBack"/>
      <w:bookmarkEnd w:id="2"/>
      <w:r>
        <w:rPr>
          <w:rFonts w:hint="default" w:ascii="Times New Roman" w:hAnsi="Times New Roman" w:eastAsia="宋体" w:cs="Times New Roman"/>
          <w:b w:val="0"/>
          <w:bCs w:val="0"/>
          <w:kern w:val="2"/>
          <w:sz w:val="24"/>
          <w:szCs w:val="24"/>
          <w:lang w:val="en-US" w:eastAsia="zh-CN" w:bidi="ar"/>
        </w:rPr>
        <w:t>“from small to large, from distal to proximal.” It also embodies the “patient-centered” nursing philosophy and is worth promoting in clinical practice. During my literature review, I found other methods can also improve the puncture success rate, such as using anisodamine, modified puncture techniques, and negative-pressure needle insertion. I need to continue practicing based on evidence in my following clinical internships to find the most effective method for the highest puncture success rate to use clinically.</w:t>
      </w:r>
    </w:p>
    <w:p w14:paraId="3F557B4F">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0" w:firstLineChars="0"/>
        <w:jc w:val="both"/>
        <w:textAlignment w:val="auto"/>
        <w:rPr>
          <w:rFonts w:hint="default" w:ascii="Times New Roman" w:hAnsi="Times New Roman" w:eastAsia="宋体" w:cs="Times New Roman"/>
          <w:b/>
          <w:bCs/>
          <w:kern w:val="2"/>
          <w:sz w:val="24"/>
          <w:szCs w:val="24"/>
          <w:lang w:val="en-US" w:eastAsia="zh-CN" w:bidi="ar"/>
        </w:rPr>
      </w:pPr>
      <w:r>
        <w:rPr>
          <w:rFonts w:hint="default" w:ascii="Times New Roman" w:hAnsi="Times New Roman" w:eastAsia="宋体" w:cs="Times New Roman"/>
          <w:b/>
          <w:bCs/>
          <w:kern w:val="2"/>
          <w:sz w:val="24"/>
          <w:szCs w:val="24"/>
          <w:lang w:val="en-US" w:eastAsia="zh-CN" w:bidi="ar"/>
        </w:rPr>
        <w:t>References</w:t>
      </w:r>
    </w:p>
    <w:p w14:paraId="06D2CF20">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0" w:firstLineChars="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[1] Gong LP, Liu LN. Application of retrograde venipuncture in community outpatient clinics. Chinese Journal of New Clinical Medicine, 2013, 6(01):70-72.</w:t>
      </w:r>
    </w:p>
    <w:p w14:paraId="7A70EB7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0" w:firstLineChars="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[2] Wei H. Evaluation of the effect of retrograde puncture on elderly infusion patients. Qinghai Medical Journal, 2016, 46(03):24-25.</w:t>
      </w:r>
    </w:p>
    <w:p w14:paraId="77DD0A4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0" w:firstLineChars="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[3] Wang L, Zhao YY, Wang WJ. Application of retrograde intravenous indwelling needle puncture in intravenous infusion for patients with liver cirrhosis. Inner Mongolia Traditional Chinese Medicine, 2013, 32(03):162-163.</w:t>
      </w:r>
    </w:p>
    <w:p w14:paraId="4E5D5069">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0" w:firstLineChars="0"/>
        <w:jc w:val="both"/>
        <w:textAlignment w:val="auto"/>
        <w:rPr>
          <w:rFonts w:hint="default" w:ascii="Times New Roman" w:hAnsi="Times New Roman" w:eastAsia="宋体" w:cs="Times New Roman"/>
          <w:b w:val="0"/>
          <w:bCs w:val="0"/>
          <w:kern w:val="2"/>
          <w:sz w:val="24"/>
          <w:szCs w:val="24"/>
          <w:lang w:val="en-US" w:eastAsia="zh-CN" w:bidi="ar"/>
        </w:rPr>
      </w:pPr>
      <w:r>
        <w:rPr>
          <w:rFonts w:hint="default" w:ascii="Times New Roman" w:hAnsi="Times New Roman" w:eastAsia="宋体" w:cs="Times New Roman"/>
          <w:b w:val="0"/>
          <w:bCs w:val="0"/>
          <w:kern w:val="2"/>
          <w:sz w:val="24"/>
          <w:szCs w:val="24"/>
          <w:lang w:val="en-US" w:eastAsia="zh-CN" w:bidi="ar"/>
        </w:rPr>
        <w:t>[4] Su M, Zhang HY. Application progress of retrograde intravenous infusion. Chinese Journal of Modern Nursing, 2013, 19(3):371-372.</w:t>
      </w:r>
    </w:p>
    <w:p w14:paraId="61D46680">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0" w:firstLineChars="0"/>
        <w:jc w:val="both"/>
        <w:textAlignment w:val="auto"/>
        <w:rPr>
          <w:rFonts w:hint="default" w:ascii="Times New Roman" w:hAnsi="Times New Roman" w:eastAsia="宋体" w:cs="Times New Roman"/>
          <w:b w:val="0"/>
          <w:bCs w:val="0"/>
          <w:color w:val="333333"/>
          <w:kern w:val="2"/>
          <w:sz w:val="24"/>
          <w:szCs w:val="24"/>
          <w:shd w:val="clear" w:fill="FFFFFF"/>
          <w:lang w:val="en-US" w:eastAsia="zh-CN" w:bidi="ar"/>
        </w:rPr>
      </w:pPr>
      <w:r>
        <w:rPr>
          <w:rFonts w:hint="default" w:ascii="Times New Roman" w:hAnsi="Times New Roman" w:eastAsia="宋体" w:cs="Times New Roman"/>
          <w:b w:val="0"/>
          <w:bCs w:val="0"/>
          <w:kern w:val="2"/>
          <w:sz w:val="24"/>
          <w:szCs w:val="24"/>
          <w:lang w:val="en-US" w:eastAsia="zh-CN" w:bidi="ar"/>
        </w:rPr>
        <w:t>[5] Tan Y, Wang YZ. Application of retrograde indwelling needle puncture in elderly intravenous infusion. Today Nurse (Late Edition), 2012(02):150-151.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522"/>
      </w:tblGrid>
      <w:tr w14:paraId="5863F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shd w:val="clear" w:color="auto" w:fill="auto"/>
            <w:vAlign w:val="top"/>
          </w:tcPr>
          <w:p w14:paraId="6505107E">
            <w:pPr>
              <w:keepNext w:val="0"/>
              <w:keepLines w:val="0"/>
              <w:pageBreakBefore w:val="0"/>
              <w:widowControl w:val="0"/>
              <w:suppressLineNumbers w:val="0"/>
              <w:kinsoku/>
              <w:wordWrap/>
              <w:overflowPunct/>
              <w:topLinePunct w:val="0"/>
              <w:autoSpaceDE w:val="0"/>
              <w:autoSpaceDN/>
              <w:bidi w:val="0"/>
              <w:adjustRightInd/>
              <w:snapToGrid/>
              <w:spacing w:before="100" w:beforeAutospacing="0" w:after="100" w:afterAutospacing="0" w:line="360" w:lineRule="auto"/>
              <w:ind w:left="0" w:right="0" w:firstLine="482" w:firstLineChars="200"/>
              <w:jc w:val="both"/>
              <w:textAlignment w:val="auto"/>
              <w:rPr>
                <w:rFonts w:hint="default" w:ascii="Times New Roman" w:hAnsi="Times New Roman" w:eastAsia="宋体" w:cs="Times New Roman"/>
                <w:b/>
                <w:bCs/>
                <w:color w:val="333333"/>
                <w:kern w:val="2"/>
                <w:sz w:val="24"/>
                <w:szCs w:val="24"/>
                <w:shd w:val="clear" w:fill="FFFFFF"/>
                <w:lang w:val="en-US" w:eastAsia="zh-CN" w:bidi="ar"/>
              </w:rPr>
            </w:pPr>
            <w:r>
              <w:rPr>
                <w:rFonts w:hint="default" w:ascii="Times New Roman" w:hAnsi="Times New Roman" w:eastAsia="宋体" w:cs="Times New Roman"/>
                <w:b/>
                <w:bCs/>
                <w:color w:val="333333"/>
                <w:kern w:val="2"/>
                <w:sz w:val="24"/>
                <w:szCs w:val="24"/>
                <w:shd w:val="clear" w:fill="FFFFFF"/>
                <w:lang w:val="en-US" w:eastAsia="zh-CN" w:bidi="ar"/>
              </w:rPr>
              <w:t>Instructor’s Comments:</w:t>
            </w:r>
          </w:p>
          <w:p w14:paraId="49150D51">
            <w:pPr>
              <w:keepNext w:val="0"/>
              <w:keepLines w:val="0"/>
              <w:pageBreakBefore w:val="0"/>
              <w:widowControl w:val="0"/>
              <w:suppressLineNumbers w:val="0"/>
              <w:kinsoku/>
              <w:wordWrap/>
              <w:overflowPunct/>
              <w:topLinePunct w:val="0"/>
              <w:autoSpaceDE w:val="0"/>
              <w:autoSpaceDN/>
              <w:bidi w:val="0"/>
              <w:adjustRightInd/>
              <w:snapToGrid/>
              <w:spacing w:before="100" w:beforeAutospacing="0" w:after="100" w:afterAutospacing="0" w:line="360" w:lineRule="auto"/>
              <w:ind w:left="0" w:right="0" w:firstLine="480" w:firstLineChars="200"/>
              <w:jc w:val="both"/>
              <w:textAlignment w:val="auto"/>
              <w:rPr>
                <w:rFonts w:hint="default" w:ascii="Times New Roman" w:hAnsi="Times New Roman" w:eastAsia="宋体" w:cs="Times New Roman"/>
                <w:b w:val="0"/>
                <w:bCs w:val="0"/>
                <w:color w:val="333333"/>
                <w:kern w:val="2"/>
                <w:sz w:val="24"/>
                <w:szCs w:val="24"/>
                <w:shd w:val="clear" w:fill="FFFFFF"/>
              </w:rPr>
            </w:pPr>
            <w:r>
              <w:rPr>
                <w:rFonts w:hint="default" w:ascii="Times New Roman" w:hAnsi="Times New Roman" w:eastAsia="宋体" w:cs="Times New Roman"/>
                <w:b w:val="0"/>
                <w:bCs w:val="0"/>
                <w:color w:val="333333"/>
                <w:kern w:val="2"/>
                <w:sz w:val="24"/>
                <w:szCs w:val="24"/>
                <w:shd w:val="clear" w:fill="FFFFFF"/>
                <w:lang w:val="en-US" w:eastAsia="zh-CN" w:bidi="ar"/>
              </w:rPr>
              <w:t>Xiaowen, you started from a real problem you met in clinical practice: the difficulty of venipuncture in elderly patients with poor vessel conditions. This problem-oriented approach based on clinical practice is very practical and relevant. Your reflective writing also generally follows the Gibbs Reflective Cycle model, which is excellent! To verify the effect of retrograde venipuncture, you designed and carried out a clinical trial. Through two months of observation, you concluded that retrograde indwelling needle puncture has a high success rate and few complications. This strongly supports the feasibility and advantages of retrograde intravenous infusion in clinical application and reflects your research practice ability and rigorous academic attitude. When introducing the retrograde puncture method, although you explained the basic steps, some key operational details (such as how to determine the insertion angle and depth, and how to accurately judge blood return) could be described in more detail for other nursing staff to learn from. Also, during the experiment, some operational factors that might affect the puncture outcome (such as patient positioning and skin preparation of the puncture site) were not detailed. Adding this information would make the experimental process more transparent and reproducible. I hope you continue to forge ahead bravely. I also look forward to seeing your further progress and efforts!</w:t>
            </w:r>
          </w:p>
        </w:tc>
      </w:tr>
    </w:tbl>
    <w:p w14:paraId="78D51B72">
      <w:pPr>
        <w:keepNext w:val="0"/>
        <w:keepLines w:val="0"/>
        <w:pageBreakBefore w:val="0"/>
        <w:kinsoku/>
        <w:wordWrap/>
        <w:overflowPunct/>
        <w:topLinePunct w:val="0"/>
        <w:autoSpaceDN/>
        <w:bidi w:val="0"/>
        <w:adjustRightInd/>
        <w:snapToGrid/>
        <w:spacing w:line="360" w:lineRule="auto"/>
        <w:textAlignment w:val="auto"/>
        <w:rPr>
          <w:rFonts w:hint="default" w:ascii="Times New Roman" w:hAnsi="Times New Roman" w:cs="Times New Roman"/>
          <w:b w:val="0"/>
          <w:bCs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E457D7"/>
    <w:rsid w:val="0C9B719C"/>
    <w:rsid w:val="1EE457D7"/>
    <w:rsid w:val="28D22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val="0"/>
      <w:keepLines w:val="0"/>
      <w:widowControl w:val="0"/>
      <w:suppressLineNumbers w:val="0"/>
      <w:spacing w:before="0" w:beforeAutospacing="1" w:after="0" w:afterAutospacing="1"/>
      <w:jc w:val="left"/>
      <w:outlineLvl w:val="2"/>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Web)"/>
    <w:basedOn w:val="1"/>
    <w:uiPriority w:val="0"/>
    <w:rPr>
      <w:sz w:val="24"/>
    </w:rPr>
  </w:style>
  <w:style w:type="table" w:styleId="5">
    <w:name w:val="Table Grid"/>
    <w:basedOn w:val="4"/>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7">
    <w:name w:val="Strong"/>
    <w:basedOn w:val="6"/>
    <w:qFormat/>
    <w:uiPriority w:val="0"/>
    <w:rPr>
      <w:b/>
    </w:rPr>
  </w:style>
  <w:style w:type="table" w:customStyle="1" w:styleId="8">
    <w:name w:val="无格式表格 21"/>
    <w:basedOn w:val="4"/>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7E7E7E" w:sz="4" w:space="0"/>
        <w:bottom w:val="single" w:color="7E7E7E" w:sz="4" w:space="0"/>
      </w:tblBorders>
      <w:tblCellMar>
        <w:top w:w="0" w:type="dxa"/>
        <w:left w:w="108" w:type="dxa"/>
        <w:bottom w:w="0" w:type="dxa"/>
        <w:right w:w="108" w:type="dxa"/>
      </w:tblCellMar>
    </w:tblPr>
    <w:tcPr>
      <w:tcBorders>
        <w:top w:val="single" w:color="7E7E7E" w:sz="4" w:space="0"/>
        <w:bottom w:val="single" w:color="7E7E7E" w:sz="4" w:space="0"/>
      </w:tcBorders>
    </w:tcPr>
    <w:tblStylePr w:type="firstRow">
      <w:rPr>
        <w:rFonts w:hint="default" w:ascii="Times New Roman" w:hAnsi="Times New Roman" w:cs="Times New Roman"/>
        <w:b/>
        <w:bCs/>
      </w:rPr>
      <w:tcPr>
        <w:tcBorders>
          <w:top w:val="nil"/>
          <w:left w:val="nil"/>
          <w:bottom w:val="single" w:color="7E7E7E" w:sz="4" w:space="0"/>
          <w:right w:val="nil"/>
          <w:tl2br w:val="nil"/>
          <w:tr2bl w:val="nil"/>
        </w:tcBorders>
      </w:tcPr>
    </w:tblStylePr>
    <w:tblStylePr w:type="lastRow">
      <w:rPr>
        <w:rFonts w:hint="default" w:ascii="Times New Roman" w:hAnsi="Times New Roman" w:cs="Times New Roman"/>
        <w:b/>
        <w:bCs/>
      </w:rPr>
      <w:tcPr>
        <w:tcBorders>
          <w:top w:val="single" w:color="7E7E7E" w:sz="4" w:space="0"/>
          <w:left w:val="nil"/>
          <w:bottom w:val="nil"/>
          <w:right w:val="nil"/>
          <w:tl2br w:val="nil"/>
          <w:tr2bl w:val="nil"/>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cPr>
        <w:tcBorders>
          <w:top w:val="nil"/>
          <w:left w:val="single" w:color="7E7E7E" w:sz="4" w:space="0"/>
          <w:bottom w:val="nil"/>
          <w:right w:val="single" w:color="7E7E7E" w:sz="4" w:space="0"/>
          <w:tl2br w:val="nil"/>
          <w:tr2bl w:val="nil"/>
        </w:tcBorders>
      </w:tcPr>
    </w:tblStylePr>
    <w:tblStylePr w:type="band2Vert">
      <w:tcPr>
        <w:tcBorders>
          <w:top w:val="nil"/>
          <w:left w:val="single" w:color="7E7E7E" w:sz="4" w:space="0"/>
          <w:bottom w:val="nil"/>
          <w:right w:val="single" w:color="7E7E7E" w:sz="4" w:space="0"/>
          <w:tl2br w:val="nil"/>
          <w:tr2bl w:val="nil"/>
        </w:tcBorders>
      </w:tcPr>
    </w:tblStylePr>
    <w:tblStylePr w:type="band1Horz">
      <w:tcPr>
        <w:tcBorders>
          <w:top w:val="single" w:color="7E7E7E" w:sz="4" w:space="0"/>
          <w:left w:val="nil"/>
          <w:bottom w:val="single" w:color="7E7E7E" w:sz="4" w:space="0"/>
          <w:right w:val="nil"/>
          <w:tl2br w:val="nil"/>
          <w:tr2bl w:val="nil"/>
        </w:tcBorders>
      </w:tcPr>
    </w:tblStyle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3706</Words>
  <Characters>3850</Characters>
  <Lines>0</Lines>
  <Paragraphs>0</Paragraphs>
  <TotalTime>12</TotalTime>
  <ScaleCrop>false</ScaleCrop>
  <LinksUpToDate>false</LinksUpToDate>
  <CharactersWithSpaces>3855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2026-04-14T13:23:00Z</dcterms:created>
  <dc:creator>王政瑶</dc:creator>
  <cp:lastModifiedBy>15</cp:lastModifiedBy>
  <dcterms:modified xsi:type="dcterms:W3CDTF">2026-04-24T10:49:43Z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2ADE0A25F424445BA80155A2996E1232_11</vt:lpwstr>
  </property>
  <property fmtid="{D5CDD505-2E9C-101B-9397-08002B2CF9AE}" pid="4" name="KSOTemplateDocerSaveRecord">
    <vt:lpwstr>eyJoZGlkIjoiYzNkOTU5NGRiMjk2YTljNjRmMzVhZWY2NjdjNWI0ZGEiLCJ1c2VySWQiOiI2ODkxMDc4MDcifQ==</vt:lpwstr>
  </property>
</Properties>
</file>